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color w:val="1B5E20"/>
          <w:sz w:val="44"/>
        </w:rPr>
        <w:t>Community Grant Program</w:t>
      </w:r>
    </w:p>
    <w:p>
      <w:pPr>
        <w:jc w:val="center"/>
      </w:pPr>
      <w:r>
        <w:rPr>
          <w:i/>
          <w:color w:val="555555"/>
          <w:sz w:val="24"/>
        </w:rPr>
        <w:t>Policy, Guidelines &amp; Year-Round Calendar</w:t>
      </w:r>
    </w:p>
    <w:p>
      <w:r>
        <w:rPr>
          <w:b/>
          <w:color w:val="1B5E20"/>
          <w:sz w:val="28"/>
        </w:rPr>
        <w:t>Guiding Principle</w:t>
      </w:r>
    </w:p>
    <w:p>
      <w:r>
        <w:t>We fund projects and shared community assets — not cash to individuals. Every grant must benefit a group, route funds through an organization or vendor, and produce a visible, shareable outcome that builds cooperation and inspires future giving.</w:t>
      </w:r>
    </w:p>
    <w:p>
      <w:r>
        <w:rPr>
          <w:b/>
          <w:color w:val="1B5E20"/>
          <w:sz w:val="28"/>
        </w:rPr>
        <w:t>Rules That Apply to Every Grant</w:t>
      </w:r>
    </w:p>
    <w:p>
      <w:pPr>
        <w:pStyle w:val="ListBullet"/>
      </w:pPr>
      <w:r>
        <w:t>Direct vendor payment or receipt-based reimbursement only — no cash to individuals.</w:t>
      </w:r>
    </w:p>
    <w:p>
      <w:pPr>
        <w:pStyle w:val="ListBullet"/>
      </w:pPr>
      <w:r>
        <w:t>A community co-sponsor or partner organization is required on every application.</w:t>
      </w:r>
    </w:p>
    <w:p>
      <w:pPr>
        <w:pStyle w:val="ListBullet"/>
      </w:pPr>
      <w:r>
        <w:t>Recipients must contribute a volunteer or in-kind component.</w:t>
      </w:r>
    </w:p>
    <w:p>
      <w:pPr>
        <w:pStyle w:val="ListBullet"/>
      </w:pPr>
      <w:r>
        <w:t>A short impact report with photos is required before final funds are released.</w:t>
      </w:r>
    </w:p>
    <w:p>
      <w:pPr>
        <w:pStyle w:val="ListBullet"/>
      </w:pPr>
      <w:r>
        <w:t>Each grant has a capped amount and a defined, measurable outcome.</w:t>
      </w:r>
    </w:p>
    <w:p>
      <w:r>
        <w:rPr>
          <w:b/>
          <w:color w:val="1B5E20"/>
          <w:sz w:val="28"/>
        </w:rPr>
        <w:t>The 12 Grants (Two Per Category)</w:t>
      </w:r>
    </w:p>
    <w:p>
      <w:r>
        <w:rPr>
          <w:b/>
          <w:color w:val="1B5E20"/>
          <w:sz w:val="24"/>
        </w:rPr>
        <w:t>1. Matching / Challenge Grants</w:t>
      </w:r>
    </w:p>
    <w:p>
      <w:pPr>
        <w:pStyle w:val="ListBullet"/>
      </w:pPr>
      <w:r>
        <w:rPr>
          <w:b/>
        </w:rPr>
        <w:t xml:space="preserve">Neighbor-to-Neighbor Match — </w:t>
      </w:r>
      <w:r>
        <w:t>Matches every dollar a group raises, up to a cap. Funds released after the goal is met.</w:t>
      </w:r>
    </w:p>
    <w:p>
      <w:pPr>
        <w:pStyle w:val="ListBullet"/>
      </w:pPr>
      <w:r>
        <w:rPr>
          <w:b/>
        </w:rPr>
        <w:t xml:space="preserve">Volunteer Hours Match — </w:t>
      </w:r>
      <w:r>
        <w:t>Converts logged volunteer hours into grant dollars toward a project the group chooses.</w:t>
      </w:r>
    </w:p>
    <w:p>
      <w:r>
        <w:rPr>
          <w:b/>
          <w:color w:val="1B5E20"/>
          <w:sz w:val="24"/>
        </w:rPr>
        <w:t>2. Community Asset Grants</w:t>
      </w:r>
    </w:p>
    <w:p>
      <w:pPr>
        <w:pStyle w:val="ListBullet"/>
      </w:pPr>
      <w:r>
        <w:rPr>
          <w:b/>
        </w:rPr>
        <w:t xml:space="preserve">Green Spaces Grant — </w:t>
      </w:r>
      <w:r>
        <w:t>Community garden, tree planting, or park improvement. Paid to the nursery/supplier.</w:t>
      </w:r>
    </w:p>
    <w:p>
      <w:pPr>
        <w:pStyle w:val="ListBullet"/>
      </w:pPr>
      <w:r>
        <w:rPr>
          <w:b/>
        </w:rPr>
        <w:t xml:space="preserve">Public Canvas Grant — </w:t>
      </w:r>
      <w:r>
        <w:t>Mural, Little Free Library, or signage. Materials purchased by vendor invoice.</w:t>
      </w:r>
    </w:p>
    <w:p>
      <w:r>
        <w:rPr>
          <w:b/>
          <w:color w:val="1B5E20"/>
          <w:sz w:val="24"/>
        </w:rPr>
        <w:t>3. Group / Team Grants</w:t>
      </w:r>
    </w:p>
    <w:p>
      <w:pPr>
        <w:pStyle w:val="ListBullet"/>
      </w:pPr>
      <w:r>
        <w:rPr>
          <w:b/>
        </w:rPr>
        <w:t xml:space="preserve">Youth Team Boost — </w:t>
      </w:r>
      <w:r>
        <w:t>Equipment or registration for a team, troop, or club. Paid to the league/organization.</w:t>
      </w:r>
    </w:p>
    <w:p>
      <w:pPr>
        <w:pStyle w:val="ListBullet"/>
      </w:pPr>
      <w:r>
        <w:rPr>
          <w:b/>
        </w:rPr>
        <w:t xml:space="preserve">Classroom Club Grant — </w:t>
      </w:r>
      <w:r>
        <w:t>Funds a school club's project (robotics, debate, arts). Paid to the school.</w:t>
      </w:r>
    </w:p>
    <w:p>
      <w:r>
        <w:rPr>
          <w:b/>
          <w:color w:val="1B5E20"/>
          <w:sz w:val="24"/>
        </w:rPr>
        <w:t>4. Reimbursement-Based Classroom Grants</w:t>
      </w:r>
    </w:p>
    <w:p>
      <w:pPr>
        <w:pStyle w:val="ListBullet"/>
      </w:pPr>
      <w:r>
        <w:rPr>
          <w:b/>
        </w:rPr>
        <w:t xml:space="preserve">Back-to-School Supply Grant — </w:t>
      </w:r>
      <w:r>
        <w:t>Reimburses teachers for classroom supplies via receipts. Paid to school/vendor.</w:t>
      </w:r>
    </w:p>
    <w:p>
      <w:pPr>
        <w:pStyle w:val="ListBullet"/>
      </w:pPr>
      <w:r>
        <w:rPr>
          <w:b/>
        </w:rPr>
        <w:t xml:space="preserve">Mid-Year Project Grant — </w:t>
      </w:r>
      <w:r>
        <w:t>Funds a specific classroom project or field experience. Receipt-based.</w:t>
      </w:r>
    </w:p>
    <w:p>
      <w:r>
        <w:rPr>
          <w:b/>
          <w:color w:val="1B5E20"/>
          <w:sz w:val="24"/>
        </w:rPr>
        <w:t>5. Nonprofit Capacity Micro-Grants</w:t>
      </w:r>
    </w:p>
    <w:p>
      <w:pPr>
        <w:pStyle w:val="ListBullet"/>
      </w:pPr>
      <w:r>
        <w:rPr>
          <w:b/>
        </w:rPr>
        <w:t xml:space="preserve">Pantry &amp; Shelter Essentials — </w:t>
      </w:r>
      <w:r>
        <w:t>A needed item (freezer, shelving) for a partner nonprofit. Paid to vendor.</w:t>
      </w:r>
    </w:p>
    <w:p>
      <w:pPr>
        <w:pStyle w:val="ListBullet"/>
      </w:pPr>
      <w:r>
        <w:rPr>
          <w:b/>
        </w:rPr>
        <w:t xml:space="preserve">Tools for Good — </w:t>
      </w:r>
      <w:r>
        <w:t>Operational equipment (printer, laptop, kitchen gear) for a small local nonprofit.</w:t>
      </w:r>
    </w:p>
    <w:p>
      <w:r>
        <w:rPr>
          <w:b/>
          <w:color w:val="1B5E20"/>
          <w:sz w:val="24"/>
        </w:rPr>
        <w:t>6. Co-Sponsored Event Grants</w:t>
      </w:r>
    </w:p>
    <w:p>
      <w:pPr>
        <w:pStyle w:val="ListBullet"/>
      </w:pPr>
      <w:r>
        <w:rPr>
          <w:b/>
        </w:rPr>
        <w:t xml:space="preserve">Community Day Grant — </w:t>
      </w:r>
      <w:r>
        <w:t>Cleanup day, resource fair, or free workshop with a required co-sponsor.</w:t>
      </w:r>
    </w:p>
    <w:p>
      <w:pPr>
        <w:pStyle w:val="ListBullet"/>
      </w:pPr>
      <w:r>
        <w:rPr>
          <w:b/>
        </w:rPr>
        <w:t xml:space="preserve">Seasonal Celebration Grant — </w:t>
      </w:r>
      <w:r>
        <w:t>A community holiday/seasonal event co-hosted with a local partner.</w:t>
      </w:r>
    </w:p>
    <w:p>
      <w:r>
        <w:br w:type="page"/>
      </w:r>
    </w:p>
    <w:p>
      <w:r>
        <w:rPr>
          <w:b/>
          <w:color w:val="1B5E20"/>
          <w:sz w:val="28"/>
        </w:rPr>
        <w:t>Year-Round Calendar</w:t>
      </w:r>
    </w:p>
    <w:p>
      <w:r>
        <w:t>Staggered so something is always opening, closing, or being celebrated — keeping the foundation visible every month for social media and donation drives.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2160"/>
        <w:gridCol w:w="2160"/>
        <w:gridCol w:w="2160"/>
        <w:gridCol w:w="2160"/>
      </w:tblGrid>
      <w:tr>
        <w:tc>
          <w:tcPr>
            <w:tcW w:type="dxa" w:w="2160"/>
          </w:tcPr>
          <w:p>
            <w:r>
              <w:rPr>
                <w:b/>
              </w:rPr>
              <w:t>Month</w:t>
            </w:r>
          </w:p>
        </w:tc>
        <w:tc>
          <w:tcPr>
            <w:tcW w:type="dxa" w:w="2160"/>
          </w:tcPr>
          <w:p>
            <w:r>
              <w:rPr>
                <w:b/>
              </w:rPr>
              <w:t>Opens</w:t>
            </w:r>
          </w:p>
        </w:tc>
        <w:tc>
          <w:tcPr>
            <w:tcW w:type="dxa" w:w="2160"/>
          </w:tcPr>
          <w:p>
            <w:r>
              <w:rPr>
                <w:b/>
              </w:rPr>
              <w:t>Closes / Award</w:t>
            </w:r>
          </w:p>
        </w:tc>
        <w:tc>
          <w:tcPr>
            <w:tcW w:type="dxa" w:w="2160"/>
          </w:tcPr>
          <w:p>
            <w:r>
              <w:rPr>
                <w:b/>
              </w:rPr>
              <w:t>Celebrate</w:t>
            </w:r>
          </w:p>
        </w:tc>
      </w:tr>
      <w:tr>
        <w:tc>
          <w:tcPr>
            <w:tcW w:type="dxa" w:w="2160"/>
          </w:tcPr>
          <w:p>
            <w:r>
              <w:t>Jan</w:t>
            </w:r>
          </w:p>
        </w:tc>
        <w:tc>
          <w:tcPr>
            <w:tcW w:type="dxa" w:w="2160"/>
          </w:tcPr>
          <w:p>
            <w:r>
              <w:t>Green Spaces opens</w:t>
            </w:r>
          </w:p>
        </w:tc>
        <w:tc>
          <w:tcPr>
            <w:tcW w:type="dxa" w:w="2160"/>
          </w:tcPr>
          <w:p>
            <w:r>
              <w:t>—</w:t>
            </w:r>
          </w:p>
        </w:tc>
        <w:tc>
          <w:tcPr>
            <w:tcW w:type="dxa" w:w="2160"/>
          </w:tcPr>
          <w:p>
            <w:r>
              <w:t>"Year of Impact" kickoff</w:t>
            </w:r>
          </w:p>
        </w:tc>
      </w:tr>
      <w:tr>
        <w:tc>
          <w:tcPr>
            <w:tcW w:type="dxa" w:w="2160"/>
          </w:tcPr>
          <w:p>
            <w:r>
              <w:t>Feb</w:t>
            </w:r>
          </w:p>
        </w:tc>
        <w:tc>
          <w:tcPr>
            <w:tcW w:type="dxa" w:w="2160"/>
          </w:tcPr>
          <w:p>
            <w:r>
              <w:t>Youth Team Boost opens</w:t>
            </w:r>
          </w:p>
        </w:tc>
        <w:tc>
          <w:tcPr>
            <w:tcW w:type="dxa" w:w="2160"/>
          </w:tcPr>
          <w:p>
            <w:r>
              <w:t>Green Spaces closes</w:t>
            </w:r>
          </w:p>
        </w:tc>
        <w:tc>
          <w:tcPr>
            <w:tcW w:type="dxa" w:w="2160"/>
          </w:tcPr>
          <w:p>
            <w:r>
              <w:t>Spotlight prior winners</w:t>
            </w:r>
          </w:p>
        </w:tc>
      </w:tr>
      <w:tr>
        <w:tc>
          <w:tcPr>
            <w:tcW w:type="dxa" w:w="2160"/>
          </w:tcPr>
          <w:p>
            <w:r>
              <w:t>Mar</w:t>
            </w:r>
          </w:p>
        </w:tc>
        <w:tc>
          <w:tcPr>
            <w:tcW w:type="dxa" w:w="2160"/>
          </w:tcPr>
          <w:p>
            <w:r>
              <w:t>—</w:t>
            </w:r>
          </w:p>
        </w:tc>
        <w:tc>
          <w:tcPr>
            <w:tcW w:type="dxa" w:w="2160"/>
          </w:tcPr>
          <w:p>
            <w:r>
              <w:t>Youth Team Boost awarded</w:t>
            </w:r>
          </w:p>
        </w:tc>
        <w:tc>
          <w:tcPr>
            <w:tcW w:type="dxa" w:w="2160"/>
          </w:tcPr>
          <w:p>
            <w:r>
              <w:t>Green Spaces projects begin</w:t>
            </w:r>
          </w:p>
        </w:tc>
      </w:tr>
      <w:tr>
        <w:tc>
          <w:tcPr>
            <w:tcW w:type="dxa" w:w="2160"/>
          </w:tcPr>
          <w:p>
            <w:r>
              <w:t>Apr</w:t>
            </w:r>
          </w:p>
        </w:tc>
        <w:tc>
          <w:tcPr>
            <w:tcW w:type="dxa" w:w="2160"/>
          </w:tcPr>
          <w:p>
            <w:r>
              <w:t>Community Day opens</w:t>
            </w:r>
          </w:p>
        </w:tc>
        <w:tc>
          <w:tcPr>
            <w:tcW w:type="dxa" w:w="2160"/>
          </w:tcPr>
          <w:p>
            <w:r>
              <w:t>—</w:t>
            </w:r>
          </w:p>
        </w:tc>
        <w:tc>
          <w:tcPr>
            <w:tcW w:type="dxa" w:w="2160"/>
          </w:tcPr>
          <w:p>
            <w:r>
              <w:t>Earth Day tie-in / asset reveals</w:t>
            </w:r>
          </w:p>
        </w:tc>
      </w:tr>
      <w:tr>
        <w:tc>
          <w:tcPr>
            <w:tcW w:type="dxa" w:w="2160"/>
          </w:tcPr>
          <w:p>
            <w:r>
              <w:t>May</w:t>
            </w:r>
          </w:p>
        </w:tc>
        <w:tc>
          <w:tcPr>
            <w:tcW w:type="dxa" w:w="2160"/>
          </w:tcPr>
          <w:p>
            <w:r>
              <w:t>—</w:t>
            </w:r>
          </w:p>
        </w:tc>
        <w:tc>
          <w:tcPr>
            <w:tcW w:type="dxa" w:w="2160"/>
          </w:tcPr>
          <w:p>
            <w:r>
              <w:t>Community Day awarded</w:t>
            </w:r>
          </w:p>
        </w:tc>
        <w:tc>
          <w:tcPr>
            <w:tcW w:type="dxa" w:w="2160"/>
          </w:tcPr>
          <w:p>
            <w:r>
              <w:t>Spring sports teams featured</w:t>
            </w:r>
          </w:p>
        </w:tc>
      </w:tr>
      <w:tr>
        <w:tc>
          <w:tcPr>
            <w:tcW w:type="dxa" w:w="2160"/>
          </w:tcPr>
          <w:p>
            <w:r>
              <w:t>Jun</w:t>
            </w:r>
          </w:p>
        </w:tc>
        <w:tc>
          <w:tcPr>
            <w:tcW w:type="dxa" w:w="2160"/>
          </w:tcPr>
          <w:p>
            <w:r>
              <w:t>Neighbor-to-Neighbor opens</w:t>
            </w:r>
          </w:p>
        </w:tc>
        <w:tc>
          <w:tcPr>
            <w:tcW w:type="dxa" w:w="2160"/>
          </w:tcPr>
          <w:p>
            <w:r>
              <w:t>—</w:t>
            </w:r>
          </w:p>
        </w:tc>
        <w:tc>
          <w:tcPr>
            <w:tcW w:type="dxa" w:w="2160"/>
          </w:tcPr>
          <w:p>
            <w:r>
              <w:t>Mid-year donor drive + match push</w:t>
            </w:r>
          </w:p>
        </w:tc>
      </w:tr>
      <w:tr>
        <w:tc>
          <w:tcPr>
            <w:tcW w:type="dxa" w:w="2160"/>
          </w:tcPr>
          <w:p>
            <w:r>
              <w:t>Jul</w:t>
            </w:r>
          </w:p>
        </w:tc>
        <w:tc>
          <w:tcPr>
            <w:tcW w:type="dxa" w:w="2160"/>
          </w:tcPr>
          <w:p>
            <w:r>
              <w:t>Tools for Good opens</w:t>
            </w:r>
          </w:p>
        </w:tc>
        <w:tc>
          <w:tcPr>
            <w:tcW w:type="dxa" w:w="2160"/>
          </w:tcPr>
          <w:p>
            <w:r>
              <w:t>Neighbor-to-Neighbor closes</w:t>
            </w:r>
          </w:p>
        </w:tc>
        <w:tc>
          <w:tcPr>
            <w:tcW w:type="dxa" w:w="2160"/>
          </w:tcPr>
          <w:p>
            <w:r>
              <w:t>Summer events recap</w:t>
            </w:r>
          </w:p>
        </w:tc>
      </w:tr>
      <w:tr>
        <w:tc>
          <w:tcPr>
            <w:tcW w:type="dxa" w:w="2160"/>
          </w:tcPr>
          <w:p>
            <w:r>
              <w:t>Aug</w:t>
            </w:r>
          </w:p>
        </w:tc>
        <w:tc>
          <w:tcPr>
            <w:tcW w:type="dxa" w:w="2160"/>
          </w:tcPr>
          <w:p>
            <w:r>
              <w:t>Back-to-School opens</w:t>
            </w:r>
          </w:p>
        </w:tc>
        <w:tc>
          <w:tcPr>
            <w:tcW w:type="dxa" w:w="2160"/>
          </w:tcPr>
          <w:p>
            <w:r>
              <w:t>Tools for Good awarded</w:t>
            </w:r>
          </w:p>
        </w:tc>
        <w:tc>
          <w:tcPr>
            <w:tcW w:type="dxa" w:w="2160"/>
          </w:tcPr>
          <w:p>
            <w:r>
              <w:t>Back-to-school campaign</w:t>
            </w:r>
          </w:p>
        </w:tc>
      </w:tr>
      <w:tr>
        <w:tc>
          <w:tcPr>
            <w:tcW w:type="dxa" w:w="2160"/>
          </w:tcPr>
          <w:p>
            <w:r>
              <w:t>Sep</w:t>
            </w:r>
          </w:p>
        </w:tc>
        <w:tc>
          <w:tcPr>
            <w:tcW w:type="dxa" w:w="2160"/>
          </w:tcPr>
          <w:p>
            <w:r>
              <w:t>Public Canvas opens</w:t>
            </w:r>
          </w:p>
        </w:tc>
        <w:tc>
          <w:tcPr>
            <w:tcW w:type="dxa" w:w="2160"/>
          </w:tcPr>
          <w:p>
            <w:r>
              <w:t>Back-to-School awarded</w:t>
            </w:r>
          </w:p>
        </w:tc>
        <w:tc>
          <w:tcPr>
            <w:tcW w:type="dxa" w:w="2160"/>
          </w:tcPr>
          <w:p>
            <w:r>
              <w:t>Classroom impact posts</w:t>
            </w:r>
          </w:p>
        </w:tc>
      </w:tr>
      <w:tr>
        <w:tc>
          <w:tcPr>
            <w:tcW w:type="dxa" w:w="2160"/>
          </w:tcPr>
          <w:p>
            <w:r>
              <w:t>Oct</w:t>
            </w:r>
          </w:p>
        </w:tc>
        <w:tc>
          <w:tcPr>
            <w:tcW w:type="dxa" w:w="2160"/>
          </w:tcPr>
          <w:p>
            <w:r>
              <w:t>Volunteer Hours Match opens</w:t>
            </w:r>
          </w:p>
        </w:tc>
        <w:tc>
          <w:tcPr>
            <w:tcW w:type="dxa" w:w="2160"/>
          </w:tcPr>
          <w:p>
            <w:r>
              <w:t>Public Canvas closes</w:t>
            </w:r>
          </w:p>
        </w:tc>
        <w:tc>
          <w:tcPr>
            <w:tcW w:type="dxa" w:w="2160"/>
          </w:tcPr>
          <w:p>
            <w:r>
              <w:t>Mural/library unveilings</w:t>
            </w:r>
          </w:p>
        </w:tc>
      </w:tr>
      <w:tr>
        <w:tc>
          <w:tcPr>
            <w:tcW w:type="dxa" w:w="2160"/>
          </w:tcPr>
          <w:p>
            <w:r>
              <w:t>Nov</w:t>
            </w:r>
          </w:p>
        </w:tc>
        <w:tc>
          <w:tcPr>
            <w:tcW w:type="dxa" w:w="2160"/>
          </w:tcPr>
          <w:p>
            <w:r>
              <w:t>Pantry &amp; Shelter opens</w:t>
            </w:r>
          </w:p>
        </w:tc>
        <w:tc>
          <w:tcPr>
            <w:tcW w:type="dxa" w:w="2160"/>
          </w:tcPr>
          <w:p>
            <w:r>
              <w:t>Volunteer Hours closes</w:t>
            </w:r>
          </w:p>
        </w:tc>
        <w:tc>
          <w:tcPr>
            <w:tcW w:type="dxa" w:w="2160"/>
          </w:tcPr>
          <w:p>
            <w:r>
              <w:t>Giving Tuesday / year-end drive</w:t>
            </w:r>
          </w:p>
        </w:tc>
      </w:tr>
      <w:tr>
        <w:tc>
          <w:tcPr>
            <w:tcW w:type="dxa" w:w="2160"/>
          </w:tcPr>
          <w:p>
            <w:r>
              <w:t>Dec</w:t>
            </w:r>
          </w:p>
        </w:tc>
        <w:tc>
          <w:tcPr>
            <w:tcW w:type="dxa" w:w="2160"/>
          </w:tcPr>
          <w:p>
            <w:r>
              <w:t>Seasonal Celebration opens</w:t>
            </w:r>
          </w:p>
        </w:tc>
        <w:tc>
          <w:tcPr>
            <w:tcW w:type="dxa" w:w="2160"/>
          </w:tcPr>
          <w:p>
            <w:r>
              <w:t>Pantry &amp; Classroom awarded</w:t>
            </w:r>
          </w:p>
        </w:tc>
        <w:tc>
          <w:tcPr>
            <w:tcW w:type="dxa" w:w="2160"/>
          </w:tcPr>
          <w:p>
            <w:r>
              <w:t>Year-in-review + holiday events</w:t>
            </w:r>
          </w:p>
        </w:tc>
      </w:tr>
    </w:tbl>
    <w:p>
      <w:r>
        <w:rPr>
          <w:b/>
          <w:color w:val="1B5E20"/>
          <w:sz w:val="28"/>
        </w:rPr>
        <w:t>How the Calendar Works for You</w:t>
      </w:r>
    </w:p>
    <w:p>
      <w:pPr>
        <w:pStyle w:val="ListBullet"/>
      </w:pPr>
      <w:r>
        <w:t>Something opens almost every month — a steady stream of application announcements.</w:t>
      </w:r>
    </w:p>
    <w:p>
      <w:pPr>
        <w:pStyle w:val="ListBullet"/>
      </w:pPr>
      <w:r>
        <w:t>Awards are staggered — recurring "winner" reveals for engagement.</w:t>
      </w:r>
    </w:p>
    <w:p>
      <w:pPr>
        <w:pStyle w:val="ListBullet"/>
      </w:pPr>
      <w:r>
        <w:t>Impact reports and photos roll in after each award — fresh content for the following months.</w:t>
      </w:r>
    </w:p>
    <w:p>
      <w:pPr>
        <w:pStyle w:val="ListBullet"/>
      </w:pPr>
      <w:r>
        <w:t>Anchor fundraising moments: June match push, Giving Tuesday in November, year-end in December.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